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Free Food FIU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4:45 PM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a show and tell presentation, the implementation of the following user stories was accepted by the product owners: 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1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tblGridChange w:id="0">
          <w:tblGrid>
            <w:gridCol w:w="1470"/>
            <w:gridCol w:w="5400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search feature on the archive page that allows users to filter and find specific past events based on criteria such as date range, location, or food type.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perform end-to-end testing to validate the overall functionality of the application.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</w:tbl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4">
      <w:pPr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AA5FCB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A5FCB"/>
  </w:style>
  <w:style w:type="paragraph" w:styleId="Footer">
    <w:name w:val="footer"/>
    <w:basedOn w:val="Normal"/>
    <w:link w:val="FooterChar"/>
    <w:uiPriority w:val="99"/>
    <w:unhideWhenUsed w:val="1"/>
    <w:rsid w:val="00AA5FCB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A5FCB"/>
  </w:style>
  <w:style w:type="paragraph" w:styleId="ListParagraph">
    <w:name w:val="List Paragraph"/>
    <w:basedOn w:val="Normal"/>
    <w:uiPriority w:val="34"/>
    <w:qFormat w:val="1"/>
    <w:rsid w:val="00AA5FCB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vLskj4j5So/ooOOa1K2VH8f1FA==">CgMxLjA4AHIhMU9LQ0JoOGV0THJGU1ZsMDhtNG0zSUh4ZnNrZERLT3Qw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2023-05-08T16:49:00Z</dcterms:created>
</cp:coreProperties>
</file>